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23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НОРМАТИВЫ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применяемые при расчете нормативных затрат на цены, количество планшетных компьютеров, ноутбуков,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носителей информации, принтеров, многофункциональных устройств, копировальных аппаратов и персональных компьютеров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1502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09"/>
        <w:gridCol w:w="3827"/>
        <w:gridCol w:w="3261"/>
        <w:gridCol w:w="4110"/>
        <w:gridCol w:w="3119"/>
      </w:tblGrid>
      <w:tr>
        <w:trPr>
          <w:trHeight w:val="85"/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№ п/п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Наименование категории должности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Наименование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Количество оборудования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Цена за единицу оборудования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(рублей)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Руководитель органа государственной власти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планшетный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ноутбук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100000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100000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60000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Руководители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планшетный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ноутбук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100000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85000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60000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Специалисты (группы должностей главная, ведущая и старшая)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ноутбук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планшетный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trike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 и более при необходимости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 (при необходимости)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 (при необходимости)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 единицы в расчете на государственного гражданского служащего и не более 2 единиц на 1 кабинет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100000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75000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60000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в расчете на 1 государственного гражданского служащего при индивидуальном использовании и не более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440000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при расчете на 1 кабинет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Руководитель учреждения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ноутбук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планшетный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100000,00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100000,00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50000,00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60000,00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Первый заместитель руководителя учреждения, заместитель руководителя учреждения, главный бухгалтер учреждения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ноутбук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 1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100000,00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85000,00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60000,00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6</w:t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Иные работники учреждения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персональный компьютер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лазерный принтер/или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в расчете на работника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100000,00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70000,00 (тип 2)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и не более 240000,00 (Тип 1) при расчете на 1 кабинет, и не более 150000,00 (Тип 5) при расчете на 1 кабинет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</w:tbl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b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>
        <w:rPr>
          <w:rFonts w:ascii="PT Astra Serif" w:hAnsi="PT Astra Serif" w:cs="PT Astra Serif"/>
          <w:b/>
          <w:bCs/>
          <w:color w:val="auto"/>
          <w:sz w:val="24"/>
          <w:szCs w:val="24"/>
        </w:rPr>
      </w:r>
      <w:r/>
    </w:p>
    <w:p>
      <w:pPr>
        <w:jc w:val="center"/>
        <w:rPr>
          <w:rFonts w:ascii="PT Astra Serif" w:hAnsi="PT Astra Serif" w:cs="PT Astra Serif"/>
          <w:b/>
          <w:bCs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НОРМАТИВЫ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обеспечения функций министерства финансов Саратовской области и подведомственных ему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 государственного казенного учреждения Саратовской области «Государственное агентство по централизации закупок»,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применяемые при расчете нормативных затрат количества и цены различных типов принтеров,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многофункциональных устройств, копировальных аппаратов и иной оргтехники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1460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51"/>
        <w:gridCol w:w="4725"/>
        <w:gridCol w:w="3638"/>
        <w:gridCol w:w="5387"/>
      </w:tblGrid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№ п/п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Тип устройства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Количество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Цена за единицу приобретаемого товара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(рублей)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устройство,              черно-белая печать, формат А4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24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Лазерный принтер, черно-белая печать, формат А4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70000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устройство, черно-белая печать, формат А3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00000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устройство, цветная печать, формат А3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440000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Многофункциональное устройство, цветная печать, формат А4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15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6.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47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Сканер, </w:t>
            </w:r>
            <w:r>
              <w:rPr>
                <w:rFonts w:ascii="PT Astra Serif" w:hAnsi="PT Astra Serif" w:cs="PT Astra Serif"/>
                <w:bCs/>
                <w:color w:val="auto"/>
                <w:sz w:val="24"/>
                <w:szCs w:val="24"/>
                <w:lang w:eastAsia="ru-RU"/>
              </w:rPr>
              <w:t xml:space="preserve">формат А4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63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53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70000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</w:tbl>
    <w:p>
      <w:pPr>
        <w:ind w:firstLine="426"/>
        <w:jc w:val="both"/>
        <w:rPr>
          <w:rFonts w:ascii="PT Astra Serif" w:hAnsi="PT Astra Serif" w:cs="PT Astra Serif"/>
          <w:color w:val="auto"/>
          <w:sz w:val="24"/>
          <w:szCs w:val="24"/>
        </w:rPr>
      </w:pPr>
      <w:r>
        <w:rPr>
          <w:rFonts w:ascii="PT Astra Serif" w:hAnsi="PT Astra Serif" w:cs="PT Astra Serif"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В соответствии с нормативами материально-технического обеспечения лиц, замещающих государственные должности Саратовской области в органах исполнител</w:t>
      </w:r>
      <w:r>
        <w:rPr>
          <w:rFonts w:ascii="PT Astra Serif" w:hAnsi="PT Astra Serif" w:cs="PT Astra Serif"/>
          <w:color w:val="auto"/>
        </w:rPr>
        <w:t xml:space="preserve">ьной власти области, должности государственной гражданской службы Саратовской области высшей, главной, ведущей, старшей, младшей групп в органах исполнительной власти Саратовской области (государственных органах Саратовской области), утвержденными Постанов</w:t>
      </w:r>
      <w:r>
        <w:rPr>
          <w:rFonts w:ascii="PT Astra Serif" w:hAnsi="PT Astra Serif" w:cs="PT Astra Serif"/>
          <w:color w:val="auto"/>
        </w:rPr>
        <w:t xml:space="preserve">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 и должности государственной гражданской службы Саратовской области».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Объе</w:t>
      </w:r>
      <w:r>
        <w:rPr>
          <w:rFonts w:ascii="PT Astra Serif" w:hAnsi="PT Astra Serif" w:cs="PT Astra Serif"/>
          <w:color w:val="auto"/>
        </w:rPr>
        <w:t xml:space="preserve">м расходов, рассчитанный  с применением нормативных затрат на приобретение планшетных компьютеров, ноутбуков, носителей информации, принтеров, многофункциональных устройств, копировальных аппаратов и персональных компьютеров, может быть изменен по решению </w:t>
      </w:r>
      <w:r>
        <w:rPr>
          <w:rFonts w:ascii="PT Astra Serif" w:hAnsi="PT Astra Serif" w:cs="PT Astra Serif"/>
          <w:color w:val="auto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br w:type="page" w:clear="all"/>
      </w: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НОРМАТИВЫ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применяемые при расчете нормативных затрат количества и цены расходных материалов для различных типов принтеров, многофункциональных устройств, копировальных аппаратов (оргтехники)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54"/>
        <w:gridCol w:w="2529"/>
        <w:gridCol w:w="5693"/>
        <w:gridCol w:w="5693"/>
      </w:tblGrid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№ п/п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Тип устройства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Количество, 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Цена за единицу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приобретаемого товара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(рублей)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Тип 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30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не более 25000,00</w:t>
            </w:r>
            <w:r>
              <w:rPr>
                <w:rFonts w:ascii="PT Astra Serif" w:hAnsi="PT Astra Serif" w:cs="PT Astra Serif"/>
              </w:rPr>
            </w:r>
            <w:r/>
          </w:p>
        </w:tc>
      </w:tr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Тип 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104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не более 38000,00 </w:t>
            </w:r>
            <w:r>
              <w:rPr>
                <w:rFonts w:ascii="PT Astra Serif" w:hAnsi="PT Astra Serif" w:cs="PT Astra Serif"/>
              </w:rPr>
            </w:r>
            <w:r/>
          </w:p>
        </w:tc>
      </w:tr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Тип 3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не более 25000,00 </w:t>
            </w:r>
            <w:r>
              <w:rPr>
                <w:rFonts w:ascii="PT Astra Serif" w:hAnsi="PT Astra Serif" w:cs="PT Astra Serif"/>
              </w:rPr>
            </w:r>
            <w:r/>
          </w:p>
        </w:tc>
      </w:tr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Тип 4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56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не более 44000,00 </w:t>
            </w:r>
            <w:r>
              <w:rPr>
                <w:rFonts w:ascii="PT Astra Serif" w:hAnsi="PT Astra Serif" w:cs="PT Astra Serif"/>
              </w:rPr>
            </w:r>
            <w:r/>
          </w:p>
        </w:tc>
      </w:tr>
      <w:tr>
        <w:trPr/>
        <w:tc>
          <w:tcPr>
            <w:tcW w:w="383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83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Тип 5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32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889" w:type="pc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не более 44000,00</w:t>
            </w:r>
            <w:r>
              <w:rPr>
                <w:rFonts w:ascii="PT Astra Serif" w:hAnsi="PT Astra Serif" w:cs="PT Astra Serif"/>
              </w:rPr>
            </w:r>
            <w:r/>
          </w:p>
        </w:tc>
      </w:tr>
    </w:tbl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В соответствии с нормативами материально-технического обеспечения лиц, замещающих государственные должности Саратовской области в органах исполнител</w:t>
      </w:r>
      <w:r>
        <w:rPr>
          <w:rFonts w:ascii="PT Astra Serif" w:hAnsi="PT Astra Serif" w:cs="PT Astra Serif"/>
          <w:color w:val="auto"/>
        </w:rPr>
        <w:t xml:space="preserve">ьной власти области, должности государственной гражданской службы Саратовской области высшей, главной, ведущей, старшей, младшей групп в органах исполнительной власти Саратовской области (государственных органах Саратовской области), утвержденными Постанов</w:t>
      </w:r>
      <w:r>
        <w:rPr>
          <w:rFonts w:ascii="PT Astra Serif" w:hAnsi="PT Astra Serif" w:cs="PT Astra Serif"/>
          <w:color w:val="auto"/>
        </w:rPr>
        <w:t xml:space="preserve">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 и должности государственной гражданской службы Саратовской области».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8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Объем расходов, рассчитанный  с применением нормативных затрат на приобретение расходных материалов для различных типов принтеров, многофункциональных устройств, копировальных аппаратов (оргтехники), может быть изменен по решени</w:t>
      </w:r>
      <w:r>
        <w:rPr>
          <w:rFonts w:ascii="PT Astra Serif" w:hAnsi="PT Astra Serif" w:cs="PT Astra Serif"/>
          <w:color w:val="auto"/>
        </w:rPr>
        <w:t xml:space="preserve">ю министра финансов Саратовской области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auto"/>
        </w:rPr>
      </w:r>
      <w:r/>
    </w:p>
    <w:p>
      <w:pPr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br w:type="page" w:clear="all"/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23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Перечень периодических печатных изданий и справочной литературы</w:t>
      </w:r>
      <w:r>
        <w:rPr>
          <w:rFonts w:ascii="PT Astra Serif" w:hAnsi="PT Astra Serif" w:cs="PT Astra Serif"/>
          <w:color w:val="auto"/>
        </w:rPr>
      </w:r>
      <w:r/>
    </w:p>
    <w:p>
      <w:pPr>
        <w:jc w:val="right"/>
        <w:spacing w:line="223" w:lineRule="auto"/>
        <w:rPr>
          <w:rFonts w:ascii="PT Astra Serif" w:hAnsi="PT Astra Serif" w:cs="PT Astra Serif"/>
          <w:b/>
          <w:color w:val="auto"/>
          <w:sz w:val="28"/>
          <w:szCs w:val="28"/>
        </w:rPr>
      </w:pPr>
      <w:r>
        <w:rPr>
          <w:rFonts w:ascii="PT Astra Serif" w:hAnsi="PT Astra Serif" w:cs="PT Astra Serif"/>
          <w:b/>
          <w:color w:val="auto"/>
          <w:sz w:val="28"/>
          <w:szCs w:val="28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1502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51"/>
        <w:gridCol w:w="1349"/>
        <w:gridCol w:w="9282"/>
        <w:gridCol w:w="3544"/>
      </w:tblGrid>
      <w:tr>
        <w:trPr>
          <w:trHeight w:val="698"/>
        </w:trPr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№ п/п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349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Вид издания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9282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Наименование издания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Количество годовых подписок (</w:t>
            </w: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шт</w:t>
            </w:r>
            <w:r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  <w:t xml:space="preserve">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Газеты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Российская газета (Российская газета «Неделя»)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Журналы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Бюджетный учет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Бюджет (Бюджет. Информационный продукт)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Налоговая политика и практика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Российский экономический журнал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Федерализм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Финансы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Финконтроль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1349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Иное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9282" w:type="dxa"/>
            <w:textDirection w:val="lrTb"/>
            <w:noWrap w:val="false"/>
          </w:tcPr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Периодические издание в части бюджетного учета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</w:rPr>
              <w:t xml:space="preserve">Периодические издание в части кадровых вопросов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spacing w:line="223" w:lineRule="auto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cs="PT Astra Serif"/>
                <w:color w:val="auto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</w:tbl>
    <w:p>
      <w:pPr>
        <w:ind w:firstLine="426"/>
        <w:jc w:val="both"/>
        <w:spacing w:line="223" w:lineRule="auto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  <w:lang w:val="en-US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9"/>
        <w:jc w:val="both"/>
        <w:spacing w:line="223" w:lineRule="auto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Перечень периодических печатных</w:t>
      </w:r>
      <w:r>
        <w:rPr>
          <w:rFonts w:ascii="PT Astra Serif" w:hAnsi="PT Astra Serif" w:cs="PT Astra Serif"/>
          <w:color w:val="auto"/>
        </w:rPr>
        <w:t xml:space="preserve"> изданий и справочной литературы может отличаться от приведенного в зависимости от решаемых административных задач, при этом  оплата периодических печатных изданий и справочной литературы осуществляется в пределах доведенных лимитов бюджетных обязательств.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709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709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 Объем расходов, рассчитанный  с применением нормативных затрат на приобретение периодических печатных изданий и справочной литературы, может быть изменен по решению </w:t>
      </w:r>
      <w:r>
        <w:rPr>
          <w:rFonts w:ascii="PT Astra Serif" w:hAnsi="PT Astra Serif" w:cs="PT Astra Serif"/>
          <w:color w:val="auto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color w:val="auto"/>
        </w:rPr>
        <w:br w:type="page" w:clear="all"/>
      </w: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НОРМАТИВЫ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применяемые при расчете  нормативных затрат на приобретение канцелярских принадлежностей, материальных запасов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в расчете на государственного гражданского служащего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192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149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1558"/>
        <w:gridCol w:w="1984"/>
        <w:gridCol w:w="2409"/>
        <w:gridCol w:w="1276"/>
        <w:gridCol w:w="1100"/>
      </w:tblGrid>
      <w:tr>
        <w:trPr>
          <w:tblHeader/>
        </w:trPr>
        <w:tc>
          <w:tcPr>
            <w:tcW w:w="6629" w:type="dxa"/>
            <w:vAlign w:val="center"/>
            <w:textDirection w:val="lrTb"/>
            <w:noWrap w:val="false"/>
          </w:tcPr>
          <w:p>
            <w:pPr>
              <w:ind w:left="720"/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bCs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bCs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Единица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  <w:t xml:space="preserve"> измерения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bCs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Количество (шт.)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left="254" w:right="206"/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bCs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Периодичность </w:t>
            </w: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получения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gridSpan w:val="2"/>
            <w:tcBorders>
              <w:bottom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</w:pP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Цена за единицу</w:t>
            </w:r>
            <w:r>
              <w:rPr>
                <w:rFonts w:ascii="PT Astra Serif" w:hAnsi="PT Astra Serif" w:cs="PT Astra Serif"/>
                <w:b/>
                <w:color w:val="000000" w:themeColor="text1"/>
                <w:sz w:val="24"/>
                <w:szCs w:val="24"/>
              </w:rPr>
            </w:r>
            <w:r/>
          </w:p>
          <w:p>
            <w:pPr>
              <w:ind w:left="254" w:right="206"/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 w:themeColor="text1"/>
                <w:highlight w:val="yellow"/>
              </w:rPr>
            </w:pPr>
            <w:r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(</w:t>
            </w:r>
            <w:r>
              <w:rPr>
                <w:rFonts w:ascii="PT Astra Serif" w:hAnsi="PT Astra Serif" w:eastAsia="Times New Roman" w:cs="PT Astra Serif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рублей)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pacing w:val="2"/>
                <w:sz w:val="24"/>
                <w:szCs w:val="24"/>
                <w:highlight w:val="yellow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Антистеплер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132,00</w:t>
            </w:r>
            <w:bookmarkStart w:id="0" w:name="undefined"/>
            <w:r>
              <w:rPr>
                <w:rFonts w:ascii="PT Astra Serif" w:hAnsi="PT Astra Serif" w:cs="PT Astra Serif"/>
                <w:color w:val="000000" w:themeColor="text1"/>
              </w:rPr>
            </w:r>
            <w:bookmarkEnd w:id="0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Батарейки AAA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мизинчиковые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110,00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Батарейки AA  пальчиковые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110,00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 для заметок в пластиковом боксе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Блок для записей куб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 для записи с клейким краем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99,00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Блокнот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vMerge w:val="restart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eastAsia="Times New Roman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500,00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Бумага матовая (фотобумага А4)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990,00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A3 (марка С, 500 листов)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1705,00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А4 (марка С, 500 листов)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до 185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550,00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печати А4 (марка А, 500 листов)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Бумага для полноцветной лазерной печати А4                (марка А, 100 г/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кв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м, 500 листов)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пачка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до 10  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2750,00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Влажные салфетки для оргтехники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275,00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Датер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550,00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Дырокол до 40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Ежедневник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Журнал учета корреспонденции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Зажим для бумаги 19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25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32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Зажим для бумаг 51 мм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60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Закладки клейкие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pacing w:val="-6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6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154,00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Календарь настенный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352,00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Календарь настольный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121,00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Калька (А4, 90 г/м)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Карандаш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чернографитный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 заточенный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60,50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Клей ПВА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137,50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Клей-карандаш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Клейкая лента узкая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</w:rPr>
              <w:t xml:space="preserve">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60,50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Клейкая лента широкая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308,00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Клейкая лента двухсторонняя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423,50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Кнопки силовые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Конверт белый А4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нe</w:t>
            </w:r>
            <w:r>
              <w:rPr>
                <w:rFonts w:ascii="PT Astra Serif" w:hAnsi="PT Astra Serif" w:cs="PT Astra Serif"/>
                <w:i/>
                <w:iCs/>
                <w:color w:val="000000" w:themeColor="text1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24,20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Конверт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Е65 (110*220 мм)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6,60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Корректирующая жидкость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Корректирующая лента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Краска штемпельная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242,00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Ластик комбинированный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49,50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Лента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Киперная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423,50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Линейка 30 см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Маркер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Набор настольный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набор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935,00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Накопитель вертикальный/горизонтальный (лоток)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  <w:t xml:space="preserve">н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566,50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pacing w:val="-8"/>
                <w:sz w:val="24"/>
                <w:szCs w:val="24"/>
                <w:highlight w:val="none"/>
              </w:rPr>
              <w:t xml:space="preserve">Нить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8"/>
                <w:sz w:val="24"/>
                <w:szCs w:val="24"/>
                <w:highlight w:val="none"/>
              </w:rPr>
              <w:t xml:space="preserve">прошивная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726,00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Нож канцелярский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297,00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ожницы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1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484,00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Обложка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60,50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Обложка пластиковая для переплета А4, 200 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2750,00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Папка архивная на завязках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154,00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скоросшиватель «Дело»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Папка с зажимом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конверт на кнопке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143,00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 – конверт на молнии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396,00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Папка-портфель</w:t>
            </w:r>
            <w:r>
              <w:rPr>
                <w:rFonts w:ascii="PT Astra Serif" w:hAnsi="PT Astra Serif" w:cs="PT Astra Serif"/>
                <w:color w:val="000000" w:themeColor="text1"/>
                <w:spacing w:val="4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594,00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– регистратор (50см, 75 см)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396,00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скоросшиватель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пластиковая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85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– уголок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2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раза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Папка файл – вкладыш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100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8,80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Папка с вкладышами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на резинке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99,00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на кольцах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Папка для документов (на подпись)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Подушка штемпельная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605,00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Сменная штемпельная подушка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Планинг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датированный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550,00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Пленка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ламинирования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А4/150мкм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4 400,00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Пленка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ламинирования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А4/250мкм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6 600,00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Пружины пластиковые для переплета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5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2 200,00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Ручка автоматическая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165,00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Ручка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гелевая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Ручка шариковая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77,00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4"/>
                <w:sz w:val="24"/>
                <w:szCs w:val="24"/>
                <w:highlight w:val="none"/>
              </w:rPr>
              <w:t xml:space="preserve"> № 10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1 раз в </w:t>
            </w:r>
            <w:r>
              <w:rPr>
                <w:rFonts w:ascii="PT Astra Serif" w:hAnsi="PT Astra Serif" w:cs="PT Astra Serif"/>
                <w:color w:val="000000" w:themeColor="text1"/>
                <w:spacing w:val="-9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9"/>
                <w:sz w:val="24"/>
                <w:szCs w:val="24"/>
                <w:highlight w:val="none"/>
              </w:rPr>
              <w:t xml:space="preserve">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55,00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82,50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26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Скобы для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степлера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№ 23/13</w:t>
            </w:r>
            <w:r>
              <w:rPr>
                <w:rFonts w:ascii="PT Astra Serif" w:hAnsi="PT Astra Serif" w:cs="PT Astra Serif"/>
                <w:color w:val="000000" w:themeColor="text1"/>
                <w:spacing w:val="3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269,50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Скрепки канцелярские (50 мм)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коробка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121,00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Скрепки канцелярские (28 мм)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коробка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квартал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88,00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Степлер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№ 10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Степлер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№ 24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Стержни для ручек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l0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17,60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Тетрадь 48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84,70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Тетрадь 96 листов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165,00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Точилка для карандашей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Фоторамки А4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682,00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Шило канцелярское</w:t>
            </w:r>
            <w:r>
              <w:rPr>
                <w:rFonts w:ascii="PT Astra Serif" w:hAnsi="PT Astra Serif" w:cs="PT Astra Serif"/>
                <w:color w:val="000000" w:themeColor="text1"/>
                <w:spacing w:val="2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Шпагат полипропиленовый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396,00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Шпагат джутовый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</w:t>
            </w: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раз в 3 года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Мыло жидкое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0,25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205,70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Мешки для мусора на 30 л (30 шт./рулон)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20 шт. - на 1 корзину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110,00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Мешки для мусора на 120 л (10 шт./рулон)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4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220,00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Бумага туалетная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рулон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 рулона - на 1 санузел в день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Ведро пластиковое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штука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198,00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Корзина для мусора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штука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на один кабинет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264,00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Незамерзающая жидкость для очистки стекол автомобиля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30 на 1 автомо-биль в год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165,00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Шампунь для мойки автомобилей (0,5 л.)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20 на 1 автомо-биль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Салфетка из микрофибры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10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154,00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>
          <w:trHeight w:val="382"/>
        </w:trPr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Дозатор для жидкого мыла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 на санузел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2860,00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Дезинфицирующее средство для рук                             (кожный антисептик), 0,5 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флакон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необходимости, 0,03 л на 1 работника в день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Салфетка полировочная замшевая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6 на 1 автомо-биль в год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330,00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pacing w:line="216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Маска защитная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16" w:lineRule="auto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По мере необходимости, 4 на работника в квартал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pacing w:line="216" w:lineRule="auto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Перчатки резиновые хозяйственные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 (пара)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5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132,00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Чистящее средство, порошок с дезинфицирующим средством (400 г)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143,00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Средство для мытья стекол (1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0,1 - на 25 кв. м площади здания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314,60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Средство для мытья пола (1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165,00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ind w:left="426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104. Чистящее средство для санузлов (5 л)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литр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1,2 - на 1 еди-ницу сантехники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770,00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Ерш туалетный с подставкой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1 - на 1 единицу сантехники 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6 месяцев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198,00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Швабра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на 6 месяцев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275,00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426" w:firstLine="0"/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Комплект для уборки (совок, щетка)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шт.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год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715,00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  <w:tr>
        <w:trPr/>
        <w:tc>
          <w:tcPr>
            <w:tcW w:w="6629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hd w:val="clear" w:color="auto" w:fill="ffffff"/>
              <w:tabs>
                <w:tab w:val="left" w:pos="567" w:leader="none"/>
                <w:tab w:val="left" w:pos="983" w:leader="none"/>
              </w:tabs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  <w:t xml:space="preserve">Губка хозяйственная  (10 шт./упаковка)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highlight w:val="none"/>
              </w:rPr>
            </w:r>
            <w:r/>
          </w:p>
        </w:tc>
        <w:tc>
          <w:tcPr>
            <w:tcW w:w="155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упаковка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PT Astra Serif" w:hAnsi="PT Astra Serif" w:cs="PT Astra Serif"/>
                <w:color w:val="000000"/>
                <w:szCs w:val="24"/>
                <w:highlight w:val="non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  <w:t xml:space="preserve">1 раз в месяц</w:t>
            </w:r>
            <w:r>
              <w:rPr>
                <w:rFonts w:ascii="PT Astra Serif" w:hAnsi="PT Astra Serif" w:cs="PT Astra Serif"/>
                <w:color w:val="000000" w:themeColor="text1"/>
                <w:sz w:val="24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не более 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ind w:left="0" w:right="0" w:firstLine="0"/>
              <w:jc w:val="right"/>
              <w:spacing w:line="216" w:lineRule="auto"/>
              <w:shd w:val="clear" w:color="auto" w:fill="ffffff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Times New Roman" w:cs="PT Astra Serif"/>
                <w:color w:val="000000" w:themeColor="text1"/>
                <w:spacing w:val="1"/>
                <w:sz w:val="24"/>
                <w:szCs w:val="24"/>
              </w:rPr>
              <w:t xml:space="preserve">77,00</w:t>
            </w:r>
            <w:r>
              <w:rPr>
                <w:rFonts w:ascii="PT Astra Serif" w:hAnsi="PT Astra Serif" w:cs="PT Astra Serif"/>
                <w:color w:val="000000" w:themeColor="text1"/>
                <w:spacing w:val="1"/>
                <w:sz w:val="24"/>
                <w:szCs w:val="24"/>
              </w:rPr>
            </w:r>
            <w:r/>
          </w:p>
        </w:tc>
      </w:tr>
    </w:tbl>
    <w:p>
      <w:pPr>
        <w:ind w:firstLine="426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426"/>
        <w:jc w:val="both"/>
        <w:spacing w:line="223" w:lineRule="auto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Перечень, количество и периодичность по</w:t>
      </w:r>
      <w:r>
        <w:rPr>
          <w:rFonts w:ascii="PT Astra Serif" w:hAnsi="PT Astra Serif" w:cs="PT Astra Serif"/>
          <w:color w:val="auto"/>
        </w:rPr>
        <w:t xml:space="preserve">лучения канцелярских принадлежностей, материальных запасов может отличаться от приведенного в зависимости от решаемых административных задач, при этом  оплата канцелярских принадлежностей осуществляется в пределах доведенных лимитов бюджетных обязательств.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426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Объем расходов, рассчитанный  с применением нормативных затрат на приобретение канцелярских принадлежностей, материальных запасов, может быть изменен по решению </w:t>
      </w:r>
      <w:r>
        <w:rPr>
          <w:rFonts w:ascii="PT Astra Serif" w:hAnsi="PT Astra Serif" w:cs="PT Astra Serif"/>
          <w:color w:val="auto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426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br w:type="page" w:clear="all"/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НОРМАТИВЫ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обеспечения функций министерства финансов Саратовской области и подведомственных ему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государственного казенного учреждения Саратовской области «Государственное агентство по централизации закупок»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и государственного казенного учреждения Саратовской области «Центр бухгалтерского учета, отчетности и финансов»,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  <w:t xml:space="preserve">применяемые при расчете нормативных затрат на приобретение нефинансовых активов </w:t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57"/>
        <w:gridCol w:w="4479"/>
        <w:gridCol w:w="1417"/>
        <w:gridCol w:w="5244"/>
        <w:gridCol w:w="2695"/>
      </w:tblGrid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Наименование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Единица измерения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Количество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Цена приобретения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 за единицу измерения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  <w:p>
            <w:pPr>
              <w:jc w:val="center"/>
              <w:widowControl w:val="off"/>
              <w:rPr>
                <w:rFonts w:ascii="PT Astra Serif" w:hAnsi="PT Astra Serif" w:cs="PT Astra Serif"/>
                <w:b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b/>
                <w:color w:val="auto"/>
                <w:sz w:val="24"/>
                <w:szCs w:val="24"/>
                <w:lang w:eastAsia="ru-RU"/>
              </w:rPr>
              <w:t xml:space="preserve">(рублей)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Аппарат телефонный проводной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3960,00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Аппарат радиотелефонный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5170,00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Аппарат для 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val="en-US" w:eastAsia="ru-RU"/>
              </w:rPr>
              <w:t xml:space="preserve">IP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 телефонии проводной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6600,00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Аппарат для 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val="en-US" w:eastAsia="ru-RU"/>
              </w:rPr>
              <w:t xml:space="preserve">IP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 радиотелефонии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 мере необходимости, но не более 3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9075,00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Машинка счетная (калькулятор)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 мере необходимости, но не более 1 на работника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3025,00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32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Бумагосверлильный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 аппарат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38830,00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Переплетный станок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10285,00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8.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Уничтожитель бумаг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78650,00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9.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Брошюровщик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31460,00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10.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Ламинатор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32670,00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Кондиционер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145200,00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Удлинитель (5 м)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1210,00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Сетевой фильтр (1,8 м)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1980,00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Сетевой фильтр (3 м)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2640,00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Сетевой фильтр (5 м)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2750,00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16.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Настольная лампа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2640,00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17.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Жалюзи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21890,00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18.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79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Лампы светодиодные 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30 на кабинет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423,50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45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  <w:outlineLvl w:val="1"/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Руководитель органа государственной власти области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19.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Сейфы мебельные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35200,00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20.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Мебель для сидения с металлическим каркасом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48400,00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Столы деревянные для офисов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55660,00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45375,00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41800,00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Тумбы офисные высокие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30250,00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  <w:outlineLvl w:val="1"/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Должности государственной гражданской службы категории «руководители»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металлические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5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24200,00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19360,00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20570,00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val="en-US" w:eastAsia="ru-RU"/>
              </w:rPr>
              <w:t xml:space="preserve">2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4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28435,00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26.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17600,00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27.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20570,00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281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  <w:outlineLvl w:val="1"/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Должности государственной гражданской службы категории «специалисты»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28.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металлические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18150,00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29.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10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11495,00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30.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10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16940,00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31.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20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17600,00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32.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10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13310,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val="en-US" w:eastAsia="ru-RU"/>
              </w:rPr>
              <w:t xml:space="preserve">0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33.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20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10890,00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  <w:outlineLvl w:val="1"/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Работники, замещающие должности, не являющиеся должностями государственной гражданской службы, и осуществляющие техническое обеспечение деятельности органа государственной власти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34.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firstLine="5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 офисный металлический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22000,00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35.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Стеллаж металлический открытый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год, для оборудования архивохранилища не более 8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11000,00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29.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ind w:firstLine="5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Мебель для сидения, преимущественно с металлическим каркасом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на работника в год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9900,00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>
          <w:trHeight w:val="6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36.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Столы письменные для офисов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3 в год, при увеличении штатной численности не более 1 на работника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14300,00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37.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офисные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2 в год, при увеличении количества помещений, не более 2 на кабинет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9900,00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38.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Шкафы одежные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год, при увеличении количества </w:t>
            </w: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помещений, не более 1 на кабинет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14300,00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39.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Тумбы офисные для оргтехники деревянные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1 в год, при увеличении количества помещений, не более 1 на кабинет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 w:eastAsia="Times New Roman" w:cs="PT Astra Serif"/>
                <w:color w:val="auto"/>
                <w:sz w:val="24"/>
                <w:szCs w:val="24"/>
                <w:lang w:eastAsia="ru-RU"/>
              </w:rPr>
              <w:t xml:space="preserve">не более 8800,00</w:t>
            </w:r>
            <w:r>
              <w:rPr>
                <w:rFonts w:ascii="PT Astra Serif" w:hAnsi="PT Astra Serif" w:cs="PT Astra Serif"/>
                <w:color w:val="auto"/>
              </w:rPr>
            </w:r>
            <w:r/>
          </w:p>
        </w:tc>
      </w:tr>
    </w:tbl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4"/>
          <w:szCs w:val="24"/>
        </w:rPr>
      </w:pPr>
      <w:r>
        <w:rPr>
          <w:rFonts w:ascii="PT Astra Serif" w:hAnsi="PT Astra Serif" w:cs="PT Astra Serif"/>
          <w:b/>
          <w:color w:val="auto"/>
          <w:sz w:val="24"/>
          <w:szCs w:val="24"/>
        </w:rPr>
      </w:r>
      <w:r>
        <w:rPr>
          <w:rFonts w:ascii="PT Astra Serif" w:hAnsi="PT Astra Serif" w:cs="PT Astra Serif"/>
          <w:color w:val="auto"/>
        </w:rPr>
      </w:r>
      <w:r/>
    </w:p>
    <w:p>
      <w:pPr>
        <w:jc w:val="center"/>
        <w:spacing w:line="216" w:lineRule="auto"/>
        <w:rPr>
          <w:rFonts w:ascii="PT Astra Serif" w:hAnsi="PT Astra Serif" w:cs="PT Astra Serif"/>
          <w:b/>
          <w:color w:val="auto"/>
          <w:sz w:val="28"/>
          <w:szCs w:val="28"/>
        </w:rPr>
      </w:pPr>
      <w:r>
        <w:rPr>
          <w:rFonts w:ascii="PT Astra Serif" w:hAnsi="PT Astra Serif" w:cs="PT Astra Serif"/>
          <w:b/>
          <w:color w:val="auto"/>
          <w:sz w:val="28"/>
          <w:szCs w:val="28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851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*В соответствии с нормативами материально-технического обеспечения лиц, замещающих государственные должности Саратовской области в органах исполнител</w:t>
      </w:r>
      <w:r>
        <w:rPr>
          <w:rFonts w:ascii="PT Astra Serif" w:hAnsi="PT Astra Serif" w:cs="PT Astra Serif"/>
          <w:color w:val="auto"/>
        </w:rPr>
        <w:t xml:space="preserve">ьной власти области, должности государственной гражданской службы Саратовской области высшей, главной, ведущей, старшей, младшей групп в органах исполнительной власти Саратовской области (государственных органах Саратовской области), утвержденными Постанов</w:t>
      </w:r>
      <w:r>
        <w:rPr>
          <w:rFonts w:ascii="PT Astra Serif" w:hAnsi="PT Astra Serif" w:cs="PT Astra Serif"/>
          <w:color w:val="auto"/>
        </w:rPr>
        <w:t xml:space="preserve">лением Правительства Саратовской области от 16 июня 2009 года № 250-П «Вопросы материально-технического обеспечения отдельных лиц, замещающих государственные должности Саратовской области и должности государственной гражданской службы Саратовской области».</w:t>
      </w:r>
      <w:r>
        <w:rPr>
          <w:rFonts w:ascii="PT Astra Serif" w:hAnsi="PT Astra Serif" w:cs="PT Astra Serif"/>
          <w:color w:val="auto"/>
        </w:rPr>
      </w:r>
      <w:r/>
    </w:p>
    <w:p>
      <w:pPr>
        <w:ind w:firstLine="851"/>
        <w:jc w:val="both"/>
        <w:spacing w:line="216" w:lineRule="auto"/>
        <w:tabs>
          <w:tab w:val="left" w:pos="314" w:leader="none"/>
        </w:tabs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</w:r>
      <w:r>
        <w:rPr>
          <w:rFonts w:ascii="PT Astra Serif" w:hAnsi="PT Astra Serif" w:cs="PT Astra Serif"/>
          <w:color w:val="auto"/>
        </w:rPr>
      </w:r>
      <w:r/>
    </w:p>
    <w:p>
      <w:pPr>
        <w:ind w:firstLine="851"/>
        <w:jc w:val="both"/>
        <w:rPr>
          <w:rFonts w:ascii="PT Astra Serif" w:hAnsi="PT Astra Serif" w:cs="PT Astra Serif"/>
          <w:color w:val="auto"/>
        </w:rPr>
      </w:pPr>
      <w:r>
        <w:rPr>
          <w:rFonts w:ascii="PT Astra Serif" w:hAnsi="PT Astra Serif" w:cs="PT Astra Serif"/>
          <w:color w:val="auto"/>
        </w:rPr>
        <w:t xml:space="preserve">Объем расходов, рассчитанный  с применением нормативных затрат на приобретение нефинансовых активов может быть изменен по решению </w:t>
      </w:r>
      <w:r>
        <w:rPr>
          <w:rFonts w:ascii="PT Astra Serif" w:hAnsi="PT Astra Serif" w:cs="PT Astra Serif"/>
          <w:color w:val="auto"/>
        </w:rPr>
        <w:t xml:space="preserve">министра финансов Саратовской области в пределах утвержденных на эти цели лимитов бюджетных обязательств по соответствующему коду классификации расходов бюджета. Указанное решение оформляется служебной запиской на имя министра финансов Саратовской области.</w:t>
      </w:r>
      <w:r>
        <w:rPr>
          <w:rFonts w:ascii="PT Astra Serif" w:hAnsi="PT Astra Serif" w:cs="PT Astra Serif"/>
          <w:color w:val="auto"/>
        </w:rPr>
      </w:r>
      <w:r/>
    </w:p>
    <w:sectPr>
      <w:headerReference w:type="default" r:id="rId9"/>
      <w:headerReference w:type="first" r:id="rId10"/>
      <w:footnotePr/>
      <w:endnotePr/>
      <w:type w:val="nextPage"/>
      <w:pgSz w:w="16838" w:h="11906" w:orient="landscape"/>
      <w:pgMar w:top="1134" w:right="851" w:bottom="709" w:left="1134" w:header="709" w:footer="431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 xml:space="preserve">7</w:t>
    </w:r>
    <w:r>
      <w:rPr>
        <w:rFonts w:ascii="Times New Roman" w:hAnsi="Times New Roman"/>
        <w:sz w:val="24"/>
        <w:szCs w:val="24"/>
      </w:rPr>
      <w:fldChar w:fldCharType="end"/>
    </w:r>
    <w:r/>
  </w:p>
  <w:p>
    <w:pPr>
      <w:pStyle w:val="76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775"/>
      <w:tblW w:w="0" w:type="auto"/>
      <w:tblInd w:w="10313" w:type="dxa"/>
      <w:tblLayout w:type="fixed"/>
      <w:tblLook w:val="04A0" w:firstRow="1" w:lastRow="0" w:firstColumn="1" w:lastColumn="0" w:noHBand="0" w:noVBand="1"/>
    </w:tblPr>
    <w:tblGrid>
      <w:gridCol w:w="4540"/>
    </w:tblGrid>
    <w:tr>
      <w:trPr/>
      <w:tc>
        <w:tcPr>
          <w:tcW w:w="4540" w:type="dxa"/>
          <w:textDirection w:val="lrTb"/>
          <w:noWrap w:val="false"/>
        </w:tcPr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Приложение № 1</w:t>
          </w:r>
          <w:r>
            <w:rPr>
              <w:rFonts w:ascii="PT Astra Serif" w:hAnsi="PT Astra Serif" w:cs="PT Astra Serif"/>
            </w:rPr>
          </w:r>
          <w:r/>
        </w:p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УТВЕРЖДЕНО</w:t>
          </w:r>
          <w:r>
            <w:rPr>
              <w:rFonts w:ascii="PT Astra Serif" w:hAnsi="PT Astra Serif" w:cs="PT Astra Serif"/>
            </w:rPr>
          </w:r>
          <w:r/>
        </w:p>
        <w:p>
          <w:pPr>
            <w:ind w:left="0" w:right="0" w:firstLine="0"/>
            <w:spacing w:after="0" w:line="240" w:lineRule="auto"/>
            <w:rPr>
              <w:rFonts w:ascii="PT Astra Serif" w:hAnsi="PT Astra Serif" w:cs="PT Astra Serif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приказ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ом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министерства  финансов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Саратовской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области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</w:t>
          </w:r>
          <w:r>
            <w:rPr>
              <w:rFonts w:ascii="PT Astra Serif" w:hAnsi="PT Astra Serif" w:cs="PT Astra Serif"/>
            </w:rPr>
          </w:r>
          <w:r/>
        </w:p>
        <w:p>
          <w:pPr>
            <w:ind w:left="0" w:right="0" w:firstLine="0"/>
            <w:jc w:val="left"/>
            <w:spacing w:after="0" w:line="240" w:lineRule="auto"/>
            <w:rPr>
              <w:rFonts w:ascii="PT Astra Serif" w:hAnsi="PT Astra Serif" w:cs="PT Astra Serif"/>
              <w:sz w:val="28"/>
              <w:szCs w:val="28"/>
            </w:rPr>
          </w:pPr>
          <w:r>
            <w:rPr>
              <w:rFonts w:ascii="PT Astra Serif" w:hAnsi="PT Astra Serif" w:cs="PT Astra Serif"/>
              <w:sz w:val="28"/>
              <w:szCs w:val="28"/>
            </w:rPr>
            <w:t xml:space="preserve">от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 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____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_____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____ № _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__</w:t>
          </w:r>
          <w:r>
            <w:rPr>
              <w:rFonts w:ascii="PT Astra Serif" w:hAnsi="PT Astra Serif" w:cs="PT Astra Serif"/>
              <w:sz w:val="28"/>
              <w:szCs w:val="28"/>
            </w:rPr>
            <w:t xml:space="preserve">___</w:t>
          </w:r>
          <w:r>
            <w:rPr>
              <w:rFonts w:ascii="PT Astra Serif" w:hAnsi="PT Astra Serif" w:cs="PT Astra Serif"/>
              <w:sz w:val="28"/>
              <w:szCs w:val="28"/>
            </w:rPr>
          </w:r>
          <w:r/>
        </w:p>
      </w:tc>
    </w:tr>
  </w:tbl>
  <w:p>
    <w:pPr>
      <w:ind w:left="10620" w:firstLine="0"/>
      <w:spacing w:after="0" w:line="240" w:lineRule="auto"/>
    </w:pPr>
    <w:r>
      <w:rPr>
        <w:rFonts w:ascii="Times New Roman" w:hAnsi="Times New Roman" w:cs="Times New Roman"/>
        <w:sz w:val="28"/>
        <w:szCs w:val="28"/>
      </w:rPr>
      <w:t xml:space="preserve">    </w:t>
    </w:r>
    <w:r/>
  </w:p>
  <w:p>
    <w:pPr>
      <w:pStyle w:val="76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80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800"/>
      <w:numFmt w:val="decimal"/>
      <w:isLgl w:val="false"/>
      <w:suff w:val="tab"/>
      <w:lvlText w:val="%1"/>
      <w:lvlJc w:val="left"/>
      <w:pPr>
        <w:ind w:left="792" w:hanging="432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 w:default="1">
    <w:name w:val="Normal"/>
    <w:qFormat/>
  </w:style>
  <w:style w:type="paragraph" w:styleId="723">
    <w:name w:val="Heading 1"/>
    <w:link w:val="7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4">
    <w:name w:val="Heading 2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5">
    <w:name w:val="Heading 3"/>
    <w:link w:val="7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6">
    <w:name w:val="Heading 4"/>
    <w:link w:val="7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7">
    <w:name w:val="Heading 5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link w:val="7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link w:val="7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Heading 1 Char"/>
    <w:basedOn w:val="732"/>
    <w:uiPriority w:val="9"/>
    <w:rPr>
      <w:rFonts w:ascii="Arial" w:hAnsi="Arial" w:eastAsia="Arial" w:cs="Arial"/>
      <w:sz w:val="40"/>
      <w:szCs w:val="40"/>
    </w:rPr>
  </w:style>
  <w:style w:type="character" w:styleId="736" w:customStyle="1">
    <w:name w:val="Heading 2 Char"/>
    <w:basedOn w:val="732"/>
    <w:uiPriority w:val="9"/>
    <w:rPr>
      <w:rFonts w:ascii="Arial" w:hAnsi="Arial" w:eastAsia="Arial" w:cs="Arial"/>
      <w:sz w:val="34"/>
    </w:rPr>
  </w:style>
  <w:style w:type="character" w:styleId="737" w:customStyle="1">
    <w:name w:val="Heading 3 Char"/>
    <w:basedOn w:val="732"/>
    <w:uiPriority w:val="9"/>
    <w:rPr>
      <w:rFonts w:ascii="Arial" w:hAnsi="Arial" w:eastAsia="Arial" w:cs="Arial"/>
      <w:sz w:val="30"/>
      <w:szCs w:val="30"/>
    </w:rPr>
  </w:style>
  <w:style w:type="character" w:styleId="738" w:customStyle="1">
    <w:name w:val="Heading 4 Char"/>
    <w:basedOn w:val="732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5 Char"/>
    <w:basedOn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6 Char"/>
    <w:basedOn w:val="732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7 Char"/>
    <w:basedOn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Title Char"/>
    <w:basedOn w:val="732"/>
    <w:uiPriority w:val="10"/>
    <w:rPr>
      <w:sz w:val="48"/>
      <w:szCs w:val="48"/>
    </w:rPr>
  </w:style>
  <w:style w:type="character" w:styleId="745" w:customStyle="1">
    <w:name w:val="Subtitle Char"/>
    <w:basedOn w:val="732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Заголовок 1 Знак"/>
    <w:link w:val="723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Заголовок 2 Знак"/>
    <w:link w:val="724"/>
    <w:uiPriority w:val="9"/>
    <w:rPr>
      <w:rFonts w:ascii="Arial" w:hAnsi="Arial" w:eastAsia="Arial" w:cs="Arial"/>
      <w:sz w:val="34"/>
    </w:rPr>
  </w:style>
  <w:style w:type="character" w:styleId="752" w:customStyle="1">
    <w:name w:val="Заголовок 3 Знак"/>
    <w:link w:val="725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Заголовок 4 Знак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Заголовок 5 Знак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Заголовок 6 Знак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Заголовок 7 Знак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Заголовок 8 Знак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Заголовок 9 Знак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List Paragraph"/>
    <w:basedOn w:val="722"/>
    <w:pPr>
      <w:contextualSpacing/>
      <w:ind w:left="720"/>
    </w:pPr>
  </w:style>
  <w:style w:type="paragraph" w:styleId="760">
    <w:name w:val="No Spacing"/>
    <w:uiPriority w:val="1"/>
    <w:qFormat/>
  </w:style>
  <w:style w:type="paragraph" w:styleId="761">
    <w:name w:val="Title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 w:customStyle="1">
    <w:name w:val="Название Знак"/>
    <w:link w:val="761"/>
    <w:uiPriority w:val="10"/>
    <w:rPr>
      <w:sz w:val="48"/>
      <w:szCs w:val="48"/>
    </w:rPr>
  </w:style>
  <w:style w:type="paragraph" w:styleId="763">
    <w:name w:val="Subtitle"/>
    <w:link w:val="764"/>
    <w:uiPriority w:val="11"/>
    <w:qFormat/>
    <w:pPr>
      <w:spacing w:before="200" w:after="200"/>
    </w:pPr>
    <w:rPr>
      <w:sz w:val="24"/>
      <w:szCs w:val="24"/>
    </w:rPr>
  </w:style>
  <w:style w:type="character" w:styleId="764" w:customStyle="1">
    <w:name w:val="Подзаголовок Знак"/>
    <w:link w:val="763"/>
    <w:uiPriority w:val="11"/>
    <w:rPr>
      <w:sz w:val="24"/>
      <w:szCs w:val="24"/>
    </w:rPr>
  </w:style>
  <w:style w:type="paragraph" w:styleId="765">
    <w:name w:val="Quote"/>
    <w:link w:val="766"/>
    <w:uiPriority w:val="29"/>
    <w:qFormat/>
    <w:pPr>
      <w:ind w:left="720" w:right="720"/>
    </w:pPr>
    <w:rPr>
      <w:i/>
    </w:rPr>
  </w:style>
  <w:style w:type="character" w:styleId="766" w:customStyle="1">
    <w:name w:val="Цитата 2 Знак"/>
    <w:link w:val="765"/>
    <w:uiPriority w:val="29"/>
    <w:rPr>
      <w:i/>
    </w:rPr>
  </w:style>
  <w:style w:type="paragraph" w:styleId="767">
    <w:name w:val="Intense Quote"/>
    <w:link w:val="76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 w:customStyle="1">
    <w:name w:val="Выделенная цитата Знак"/>
    <w:link w:val="767"/>
    <w:uiPriority w:val="30"/>
    <w:rPr>
      <w:i/>
    </w:rPr>
  </w:style>
  <w:style w:type="paragraph" w:styleId="769">
    <w:name w:val="Header"/>
    <w:basedOn w:val="722"/>
    <w:link w:val="919"/>
    <w:pPr>
      <w:tabs>
        <w:tab w:val="center" w:pos="4677" w:leader="none"/>
        <w:tab w:val="right" w:pos="9355" w:leader="none"/>
      </w:tabs>
    </w:pPr>
  </w:style>
  <w:style w:type="character" w:styleId="770" w:customStyle="1">
    <w:name w:val="Header Char"/>
    <w:uiPriority w:val="99"/>
  </w:style>
  <w:style w:type="paragraph" w:styleId="771">
    <w:name w:val="Footer"/>
    <w:basedOn w:val="722"/>
    <w:link w:val="920"/>
    <w:pPr>
      <w:tabs>
        <w:tab w:val="center" w:pos="4677" w:leader="none"/>
        <w:tab w:val="right" w:pos="9355" w:leader="none"/>
      </w:tabs>
    </w:pPr>
  </w:style>
  <w:style w:type="character" w:styleId="772" w:customStyle="1">
    <w:name w:val="Footer Char"/>
    <w:uiPriority w:val="99"/>
  </w:style>
  <w:style w:type="paragraph" w:styleId="773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4" w:customStyle="1">
    <w:name w:val="Caption Char"/>
    <w:uiPriority w:val="99"/>
  </w:style>
  <w:style w:type="table" w:styleId="775">
    <w:name w:val="Table Grid"/>
    <w:basedOn w:val="733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6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4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5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6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7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8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9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0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4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2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31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5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3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80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8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8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8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8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8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8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87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88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89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90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91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92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93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9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1">
    <w:name w:val="Hyperlink"/>
    <w:uiPriority w:val="99"/>
    <w:unhideWhenUsed/>
    <w:rPr>
      <w:color w:val="0000ff" w:themeColor="hyperlink"/>
      <w:u w:val="single"/>
    </w:rPr>
  </w:style>
  <w:style w:type="paragraph" w:styleId="902">
    <w:name w:val="footnote text"/>
    <w:link w:val="903"/>
    <w:uiPriority w:val="99"/>
    <w:semiHidden/>
    <w:unhideWhenUsed/>
    <w:pPr>
      <w:spacing w:after="40"/>
    </w:pPr>
    <w:rPr>
      <w:sz w:val="18"/>
    </w:rPr>
  </w:style>
  <w:style w:type="character" w:styleId="903" w:customStyle="1">
    <w:name w:val="Текст сноски Знак"/>
    <w:link w:val="902"/>
    <w:uiPriority w:val="99"/>
    <w:rPr>
      <w:sz w:val="18"/>
    </w:rPr>
  </w:style>
  <w:style w:type="character" w:styleId="904">
    <w:name w:val="footnote reference"/>
    <w:uiPriority w:val="99"/>
    <w:unhideWhenUsed/>
    <w:rPr>
      <w:vertAlign w:val="superscript"/>
    </w:rPr>
  </w:style>
  <w:style w:type="paragraph" w:styleId="905">
    <w:name w:val="endnote text"/>
    <w:link w:val="906"/>
    <w:uiPriority w:val="99"/>
    <w:semiHidden/>
    <w:unhideWhenUsed/>
  </w:style>
  <w:style w:type="character" w:styleId="906" w:customStyle="1">
    <w:name w:val="Текст концевой сноски Знак"/>
    <w:link w:val="905"/>
    <w:uiPriority w:val="99"/>
    <w:rPr>
      <w:sz w:val="20"/>
    </w:rPr>
  </w:style>
  <w:style w:type="character" w:styleId="907">
    <w:name w:val="endnote reference"/>
    <w:uiPriority w:val="99"/>
    <w:semiHidden/>
    <w:unhideWhenUsed/>
    <w:rPr>
      <w:vertAlign w:val="superscript"/>
    </w:rPr>
  </w:style>
  <w:style w:type="paragraph" w:styleId="908">
    <w:name w:val="toc 1"/>
    <w:uiPriority w:val="39"/>
    <w:unhideWhenUsed/>
    <w:pPr>
      <w:spacing w:after="57"/>
    </w:pPr>
  </w:style>
  <w:style w:type="paragraph" w:styleId="909">
    <w:name w:val="toc 2"/>
    <w:uiPriority w:val="39"/>
    <w:unhideWhenUsed/>
    <w:pPr>
      <w:ind w:left="283"/>
      <w:spacing w:after="57"/>
    </w:pPr>
  </w:style>
  <w:style w:type="paragraph" w:styleId="910">
    <w:name w:val="toc 3"/>
    <w:uiPriority w:val="39"/>
    <w:unhideWhenUsed/>
    <w:pPr>
      <w:ind w:left="567"/>
      <w:spacing w:after="57"/>
    </w:pPr>
  </w:style>
  <w:style w:type="paragraph" w:styleId="911">
    <w:name w:val="toc 4"/>
    <w:uiPriority w:val="39"/>
    <w:unhideWhenUsed/>
    <w:pPr>
      <w:ind w:left="850"/>
      <w:spacing w:after="57"/>
    </w:pPr>
  </w:style>
  <w:style w:type="paragraph" w:styleId="912">
    <w:name w:val="toc 5"/>
    <w:uiPriority w:val="39"/>
    <w:unhideWhenUsed/>
    <w:pPr>
      <w:ind w:left="1134"/>
      <w:spacing w:after="57"/>
    </w:pPr>
  </w:style>
  <w:style w:type="paragraph" w:styleId="913">
    <w:name w:val="toc 6"/>
    <w:uiPriority w:val="39"/>
    <w:unhideWhenUsed/>
    <w:pPr>
      <w:ind w:left="1417"/>
      <w:spacing w:after="57"/>
    </w:pPr>
  </w:style>
  <w:style w:type="paragraph" w:styleId="914">
    <w:name w:val="toc 7"/>
    <w:uiPriority w:val="39"/>
    <w:unhideWhenUsed/>
    <w:pPr>
      <w:ind w:left="1701"/>
      <w:spacing w:after="57"/>
    </w:pPr>
  </w:style>
  <w:style w:type="paragraph" w:styleId="915">
    <w:name w:val="toc 8"/>
    <w:uiPriority w:val="39"/>
    <w:unhideWhenUsed/>
    <w:pPr>
      <w:ind w:left="1984"/>
      <w:spacing w:after="57"/>
    </w:pPr>
  </w:style>
  <w:style w:type="paragraph" w:styleId="916">
    <w:name w:val="toc 9"/>
    <w:uiPriority w:val="39"/>
    <w:unhideWhenUsed/>
    <w:pPr>
      <w:ind w:left="2268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uiPriority w:val="99"/>
    <w:unhideWhenUsed/>
  </w:style>
  <w:style w:type="character" w:styleId="919" w:customStyle="1">
    <w:name w:val="Верхний колонтитул Знак"/>
    <w:basedOn w:val="732"/>
    <w:link w:val="769"/>
  </w:style>
  <w:style w:type="character" w:styleId="920" w:customStyle="1">
    <w:name w:val="Нижний колонтитул Знак"/>
    <w:basedOn w:val="732"/>
    <w:link w:val="771"/>
  </w:style>
  <w:style w:type="paragraph" w:styleId="921">
    <w:name w:val="Balloon Text"/>
    <w:basedOn w:val="722"/>
    <w:link w:val="922"/>
    <w:semiHidden/>
    <w:rPr>
      <w:rFonts w:ascii="Tahoma" w:hAnsi="Tahoma"/>
      <w:sz w:val="16"/>
      <w:szCs w:val="16"/>
    </w:rPr>
  </w:style>
  <w:style w:type="character" w:styleId="922" w:customStyle="1">
    <w:name w:val="Текст выноски Знак"/>
    <w:link w:val="921"/>
    <w:semiHidden/>
    <w:rPr>
      <w:rFonts w:ascii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Шеповалов Кирилл Вячеславович</dc:creator>
  <cp:revision>18</cp:revision>
  <dcterms:created xsi:type="dcterms:W3CDTF">2022-05-06T07:32:00Z</dcterms:created>
  <dcterms:modified xsi:type="dcterms:W3CDTF">2023-05-11T12:47:39Z</dcterms:modified>
</cp:coreProperties>
</file>